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76" w:type="dxa"/>
        <w:tblInd w:w="-601" w:type="dxa"/>
        <w:tblLook w:val="04A0" w:firstRow="1" w:lastRow="0" w:firstColumn="1" w:lastColumn="0" w:noHBand="0" w:noVBand="1"/>
      </w:tblPr>
      <w:tblGrid>
        <w:gridCol w:w="4786"/>
        <w:gridCol w:w="1134"/>
        <w:gridCol w:w="709"/>
        <w:gridCol w:w="709"/>
        <w:gridCol w:w="2288"/>
        <w:gridCol w:w="864"/>
        <w:gridCol w:w="923"/>
        <w:gridCol w:w="289"/>
        <w:gridCol w:w="1481"/>
        <w:gridCol w:w="992"/>
        <w:gridCol w:w="1701"/>
      </w:tblGrid>
      <w:tr w:rsidR="00C32250" w:rsidRPr="00A620DF" w:rsidTr="00ED107F">
        <w:trPr>
          <w:trHeight w:val="375"/>
        </w:trPr>
        <w:tc>
          <w:tcPr>
            <w:tcW w:w="11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4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20DF" w:rsidRPr="00A620DF" w:rsidRDefault="00A620DF" w:rsidP="008134A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8</w:t>
            </w:r>
          </w:p>
        </w:tc>
      </w:tr>
      <w:tr w:rsidR="00C32250" w:rsidRPr="00A620DF" w:rsidTr="00ED107F">
        <w:trPr>
          <w:trHeight w:val="375"/>
        </w:trPr>
        <w:tc>
          <w:tcPr>
            <w:tcW w:w="11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4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20DF" w:rsidRPr="00A620DF" w:rsidRDefault="008134A9" w:rsidP="008134A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Советского</w:t>
            </w:r>
            <w:r w:rsidR="00A620DF"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32250" w:rsidRPr="00A620DF" w:rsidTr="00ED107F">
        <w:trPr>
          <w:trHeight w:val="375"/>
        </w:trPr>
        <w:tc>
          <w:tcPr>
            <w:tcW w:w="11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8134A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Ставропольского края</w:t>
            </w:r>
          </w:p>
        </w:tc>
      </w:tr>
      <w:tr w:rsidR="00C32250" w:rsidRPr="00A620DF" w:rsidTr="00ED107F">
        <w:trPr>
          <w:trHeight w:val="375"/>
        </w:trPr>
        <w:tc>
          <w:tcPr>
            <w:tcW w:w="11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8134A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ED1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декабря 2020 года   № </w:t>
            </w:r>
            <w:r w:rsidR="00ED1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</w:tr>
      <w:tr w:rsidR="00C32250" w:rsidRPr="00A620DF" w:rsidTr="00ED107F">
        <w:trPr>
          <w:trHeight w:val="375"/>
        </w:trPr>
        <w:tc>
          <w:tcPr>
            <w:tcW w:w="11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4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8134A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Советского городского округа</w:t>
            </w:r>
          </w:p>
        </w:tc>
      </w:tr>
      <w:tr w:rsidR="00C32250" w:rsidRPr="00A620DF" w:rsidTr="00ED107F">
        <w:trPr>
          <w:trHeight w:val="375"/>
        </w:trPr>
        <w:tc>
          <w:tcPr>
            <w:tcW w:w="11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8134A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на 2021 год и плановый период </w:t>
            </w:r>
            <w:r w:rsidR="00ED1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и 2023 годов</w:t>
            </w:r>
            <w:r w:rsidR="00ED107F" w:rsidRPr="00ED107F">
              <w:rPr>
                <w:rFonts w:ascii="Times New Roman" w:hAnsi="Times New Roman" w:cs="Times New Roman"/>
                <w:sz w:val="28"/>
                <w:szCs w:val="28"/>
              </w:rPr>
              <w:t>(в редакции решения Совета депутатов Советского городского округа Ставропольского края от 9 ноября 2021 года № 501)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20DF" w:rsidRPr="00A620DF" w:rsidTr="00ED107F">
        <w:trPr>
          <w:trHeight w:val="375"/>
        </w:trPr>
        <w:tc>
          <w:tcPr>
            <w:tcW w:w="158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Р А С П Р Е Д Е Л Е Н И Е           </w:t>
            </w:r>
          </w:p>
        </w:tc>
      </w:tr>
      <w:tr w:rsidR="00A620DF" w:rsidRPr="00A620DF" w:rsidTr="00ED107F">
        <w:trPr>
          <w:trHeight w:val="375"/>
        </w:trPr>
        <w:tc>
          <w:tcPr>
            <w:tcW w:w="15876" w:type="dxa"/>
            <w:gridSpan w:val="1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 ассигнований по главным распорядителям средств местного бюджета, разделам (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местного бюджета (Вед.) на 2021 год      </w:t>
            </w:r>
          </w:p>
        </w:tc>
      </w:tr>
      <w:tr w:rsidR="00A620DF" w:rsidRPr="00A620DF" w:rsidTr="00ED107F">
        <w:trPr>
          <w:trHeight w:val="390"/>
        </w:trPr>
        <w:tc>
          <w:tcPr>
            <w:tcW w:w="15876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250" w:rsidRPr="00A620DF" w:rsidTr="00ED107F">
        <w:trPr>
          <w:trHeight w:val="390"/>
        </w:trPr>
        <w:tc>
          <w:tcPr>
            <w:tcW w:w="4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58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ЦСР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C32250" w:rsidRPr="00A620DF" w:rsidTr="00ED107F">
        <w:trPr>
          <w:trHeight w:val="390"/>
        </w:trPr>
        <w:tc>
          <w:tcPr>
            <w:tcW w:w="4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ПП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МР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НР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СОВЕТ  ДЕПУТАТОВ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7 520,49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7 520,49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7 520,49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7 520,49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1 616,76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41,56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1 575,20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1 575,20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4 040,49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704,22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3 336,27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3 336,27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1 863,24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1 714,07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1 714,07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366 145,42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132 666,68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1 966,94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1 966,94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1 966,94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41,56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1 893,73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1 893,73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31,65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66 133,50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59 892,51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59 892,51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7 103,63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1 446,75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5 591,29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50 894,47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50 860,05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34,42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753,72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753,72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1 140,69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202,62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градостроительства, строительства и архитектуры в Советском городском округе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1 726,67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функций органов местного самоуправления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1 726,67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49,86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1 651,51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1 651,51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 "Развитие архивного дела в Советском городском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2 773,60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"Обеспечение деятельности работников архивного отдела"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2 773,60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325,29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268,67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1 253,51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1 253,51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1 160,72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918,29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242,43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образования и молодежной политики в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1 740,72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деятельности в области опеки и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попечистельства</w:t>
            </w:r>
            <w:proofErr w:type="spellEnd"/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1 740,72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организацию и осуществление деятельности по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опеке и попечительству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1 718,61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1 652,24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19,29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судебной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местных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64 546,95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3 352,68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2 852,68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1 432,18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1 426,47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654,34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723,53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560,94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 в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«Внедрение современных технологий и методов кадровой работы, направленных на повышение профессиональной компетентности муниципальных служащих»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по профессиональному развитию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"Управление и распоряжение имуществом в Советском городском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2 108,60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2 108,60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приобретение и содержание имущества, находящегося в муниципальной собственности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2 108,60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2 108,60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13 954,96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предоставлению государственных и муниципальных услуг МКУ МФЦ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13 954,96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13 954,96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11 909,75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1 697,13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"Развитие архивного дела в Советском городском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по МКУ "Хозяйственно -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эксплутационная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39 560,05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37 805,51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30 456,54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6 873,96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МКУ "Хозяйственно - эксплуатационная служба"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1 225,68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1 225,68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1 225,68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административных зданий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капитальному ремонту и ремонту административных зданий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"Профилактика терроризма и экстремизма"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432,74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округа к участию в мероприятиях по профилактике правонарушений на территории округа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432,74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432,74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S7730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S7730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«Противодействие  коррупции на территории Советского городского округа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мероприятий, направленных на противодействие  коррупции на территории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4 517,44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4 517,44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4 517,44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4 383,95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капитальному ремонту и ремонту административных зданий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капитальному ремонту и ремонту административных зданий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4 358,87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4 358,87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4 348,87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и развития Единой дежурно-диспетчерской службы Советского городского округа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4 002,87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4 002,87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3 169,71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829,56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мероприятия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98 861,65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96 666,65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96 666,65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19 869,41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«Ремонт и содержание автомобильных дорог вне границ населенных пунктов за счет средств дорожного фонда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10 869,41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работы по ремонту, содержанию и реконструкцию автомобильных дорог вне границ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10 869,41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10 869,41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 «Ремонт и содержание автомобильных дорог вне границ населенных пунктов на поддержку дорожного хозяйства»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работы по ремонту, содержанию и реконструкцию автомобильных дорог вне границ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«Модернизация улично-дорожной сети Советского городского округа Ставропольского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"Реализация проектов развития территорий муниципальных образований, основанных на местных инициативах"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1 891,00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 ремонт автомобильной дороги общего пользования местного значения по переулку Крупской 1,2,3 линии города Зеленокумска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1 891,00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автомобильной дороги общего пользования местного значения по переулку Крупской 1,2,3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линиии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1 040,05</w:t>
            </w:r>
          </w:p>
        </w:tc>
      </w:tr>
      <w:tr w:rsidR="00C32250" w:rsidRPr="00A620DF" w:rsidTr="00ED107F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за счет внебюджетных источников ремонт автомобильной дороги общего пользования местного значения по переулку Крупской 1,2,3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линиии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368,96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368,96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73 497,23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"Ремонт и содержание улично-дорожной сети за счет средств дорожного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69 999,16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ремонту и содержанию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13 985,22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13 985,22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56 013,94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56 013,94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"Ремонт и содержание улично-дорожной сети за счет средств на поддержку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3 498,07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3 498,07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3 498,07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«Экономическое развитие Советского городского округа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«С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оздание благоприятных условий для привлечения инвестиций в Советском городском округе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мероприятий, направленных на формирование благоприятного инвестиционного имиджа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участие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выставочно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-ярмарочных мероприятиях, форумах, конференциях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малого и среднего предпринимательства в Советском городском округе 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эффективной системы поддержки малого и среднего предпринимательства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финансовой поддержки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для осуществления предпринимательской деятельности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совершенствованию организационной, информационной и консультационной поддержки малого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"Развитие пищевой и перерабатывающей промышленности, потребительского рынка и туризма в Советском городском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развития пищевой и перерабатывающей промышленности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создания условий для развития пищевой и перерабатывающей промышленности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развития инфраструктуры торговли, общественного питания и бытового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создания условий для развития инфраструктуры торговли, общественного питания и бытового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ситуационного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развитие ситуационного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градостроительства, строительства и архитектуры в Советском городском округе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 полномочий администрации в области градостроительной деятельности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области разработки основной градостроительной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59 722,82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непрограммные расходы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расходы на проведение мероприятий в чрезвычайных ситуациях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проиродного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управляющим организациям на техническое обследование многоквартирного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"Теплоснабжение"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разработке схемы, актуализации и обслуживанию сетей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58 112,84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38 159,66</w:t>
            </w:r>
          </w:p>
        </w:tc>
      </w:tr>
      <w:tr w:rsidR="00C32250" w:rsidRPr="00A620DF" w:rsidTr="00ED107F">
        <w:trPr>
          <w:trHeight w:val="949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Подпрограмма"Содержание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30 549,10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"Озеленение"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созданию и содержанию объектов озеленения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"Содержание мест захоронения"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907,56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907,56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907,56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5 311,17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 («Благоустройство сквера на площади 1 Мая в районе МОУ СОШ№ 3 (2 этап)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г.Зеленокумске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2 514,58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2 514,58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(«Приобретение коммунальной техники для уборки дорог общего пользования местного значения и площадей города Зеленокумска  Советского городского округа Ставропольского края")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2 464,99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2 464,99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(«Благоустройство сквера на площади 1 Мая в районе МОУ СОШ№ 3 (2 этап)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г.Зеленокумске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217,52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217,52</w:t>
            </w:r>
          </w:p>
        </w:tc>
      </w:tr>
      <w:tr w:rsidR="00C32250" w:rsidRPr="00A620DF" w:rsidTr="00ED107F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(«Приобретение коммунальной техники для уборки дорог общего пользования местного значения и площадей города Зеленокумска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23 057,01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15 711,28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15 711,28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комбинированной дорожной машины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7 345,73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7 345,73</w:t>
            </w:r>
          </w:p>
        </w:tc>
      </w:tr>
      <w:tr w:rsidR="00C32250" w:rsidRPr="00A620DF" w:rsidTr="00ED107F">
        <w:trPr>
          <w:trHeight w:val="80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"Комплексная система обращения с твердыми коммунальными отходами"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311,26</w:t>
            </w:r>
          </w:p>
        </w:tc>
      </w:tr>
      <w:tr w:rsidR="00C32250" w:rsidRPr="00A620DF" w:rsidTr="00ED107F">
        <w:trPr>
          <w:trHeight w:val="758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поддержка закупки контейнеров для раздельного накопления твердых коммунальных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311,26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311,26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по МКУ "Хозяйственно -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эксплутационная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1 873,30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1 873,30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1 873,30</w:t>
            </w:r>
          </w:p>
        </w:tc>
      </w:tr>
      <w:tr w:rsidR="00C32250" w:rsidRPr="00A620DF" w:rsidTr="00ED107F">
        <w:trPr>
          <w:trHeight w:val="758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"Формирование современной городской среды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18 079,88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регионального проекта  "Формирование комфортной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18 079,88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18 079,88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18 079,88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1 461,98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"Приобретение специализированной техники для нужд жилищно-коммунального обслуживания"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"Увеличение уставного фонда муниципального унитарного предприятия "Жилищно-коммунальное хозяйства города Зеленокумска"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специализированной техники по оказанию ритуальных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других 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вопросов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765,98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765,98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765,98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16,50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-Александровского  к регулярным </w:t>
            </w: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занятиям физической культурой и спортом.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3 155,02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исполнительного органа в области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строительство объектов социально-культурной сферы;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Программа "Гармонизация межнациональных отношений, предупреждение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этническогои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религиозного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экстримизма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укрепление единства российской нации на территории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муниципальной поддержкой социально-ориентированных некоммерческих организаций, осуществляющих деятельность на территории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Советского городского округа Ставропольского края "Профилактика правонарушений, наркомании в Советском городском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округа профилактических мероприятий, направленных на снижение незаконного потребления и оборота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Совершенствование системы профилактики правонарушений, направленной на активизацию борьбы с преступностью, в том числе среди несовершеннолетних и молодежи в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28 274,31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28 274,31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предоставлению государственных и муниципальных услуг МКУ МФЦ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жилищно-коммунального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жильем молодых семей в Советском городском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 в Советском городско округе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27 576,24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деятельности в области опеки и попечительства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27 576,24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13 475,48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13 475,48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13 500,76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13 500,76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39 089,57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39 089,57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39 089,57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32 379,92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32 379,92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16 190,35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10 236,79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5 952,78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«Развитие массовой физической культуры и спорта в городском округе»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1 836,37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1 255,37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-Александровского  к регулярным занятиям физической культурой и спортом»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1 925,91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1 925,91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1 925,91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"Капитальное строительство объектов спорта"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2 947,37</w:t>
            </w:r>
          </w:p>
        </w:tc>
      </w:tr>
      <w:tr w:rsidR="00C32250" w:rsidRPr="00A620DF" w:rsidTr="00ED107F">
        <w:trPr>
          <w:trHeight w:val="3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(Строительство физкультурно-оздоровительного комплекса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с.Нины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края, Советский район)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2 947,37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2 947,37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ИМУЩЕСТВЕННЫХ И ЗЕМЕЛЬНЫХ ОТНОШЕНИЙ АДМИНИСТРАЦИИ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11 255,22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11 005,22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11 005,22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"Управление и распоряжение имуществом в Советском городском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11 005,22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1 070,30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1 070,30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1 070,30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"Реализация муниципальной политики в области землеустройства и землепользования в Советском городском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572,21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572,21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572,21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"Обеспечение реализации муниципальной программы Советского городского округа Ставропольского края" Управление и распоряжение имуществом" и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общепрограммные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9 362,71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746,83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242,15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500,68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8 480,15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8 381,65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98,50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135,73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135,73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"Управление и распоряжение имуществом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жилого помещения в муниципальную собственность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капремонт жилфонда, находящегося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ФИНАНСОВОЕ УПРАВЛЕНИЕ АДМИНИСТРАЦИИ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41 774,23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41 773,03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 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15 598,31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"Повышение эффективности управления муниципальными финансами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15 598,31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реализации муниципальной программы СГО СК  "Повышение эффективности управления муниципальными финансами Советского городского округа Ставропольского края""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15 598,31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рамках обеспечения деятельности Финансового управления администрации Советского городского округа 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15 598,31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2 960,64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338,27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2 620,76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12 450,73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12 450,73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26 174,72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26 174,72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26 174,72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26 162,28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20 413,31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5 748,67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АДМИНИСТРАЦИИ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948 342,60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10,66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937 988,58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325 903,89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325 499,17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дошкольного образования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325 499,17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219 326,65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126 443,31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85 896,81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6 986,53</w:t>
            </w:r>
          </w:p>
        </w:tc>
      </w:tr>
      <w:tr w:rsidR="00C32250" w:rsidRPr="00A620DF" w:rsidTr="00ED107F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101 372,72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98 712,76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2 027,00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городского типа)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4 799,80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3 678,37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1 121,43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404,72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404,72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535 624,20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края«Развитие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535 337,80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524 777,50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185 606,85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91 589,67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87 256,66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2 107,57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4 652,95</w:t>
            </w:r>
          </w:p>
        </w:tc>
      </w:tr>
      <w:tr w:rsidR="00C32250" w:rsidRPr="00A620DF" w:rsidTr="00ED107F">
        <w:trPr>
          <w:trHeight w:val="3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242 990,71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230 407,84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12 582,87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10 659,97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8 966,97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30 232,44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30 232,44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L3040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41 843,37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L3040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41 843,37</w:t>
            </w:r>
          </w:p>
        </w:tc>
      </w:tr>
      <w:tr w:rsidR="00C32250" w:rsidRPr="00A620DF" w:rsidTr="00ED107F">
        <w:trPr>
          <w:trHeight w:val="1478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1 691,50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1 691,50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8 734,87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7 162,86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1 572,01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 "Успех каждого ребенка"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1 825,43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1 825,43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1 825,43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10 065,85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10 065,85</w:t>
            </w:r>
          </w:p>
        </w:tc>
      </w:tr>
      <w:tr w:rsidR="00C32250" w:rsidRPr="00A620DF" w:rsidTr="00ED107F">
        <w:trPr>
          <w:trHeight w:val="698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S8790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1 492,11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S8790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1 492,11</w:t>
            </w:r>
          </w:p>
        </w:tc>
      </w:tr>
      <w:tr w:rsidR="00C32250" w:rsidRPr="00A620DF" w:rsidTr="00ED107F">
        <w:trPr>
          <w:trHeight w:val="803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40 789,17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дополнительного образования детей и подростков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40 759,17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34 700,49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5 596,64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293,50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4,70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округаСтавропольского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дошкольного образования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Молодежная  политика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12 911,66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12 911,66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организационно-воспитательной работы с молодежью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2 403,36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для детей и молодежи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2 243,36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1 802,27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438,99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оздоровительно-образовательного центра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5 402,55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5 402,55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2 497,42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2 865,69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каникулярного отдыха, оздоровления и занятости детей и подростков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5 105,75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организации отдыха детей в учреждениях дополнительного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647,93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организации отдыха детей в лагерях дневного пребывания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4 457,82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3 760,32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643,20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22 754,96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образования и молодежной политики в Советском городском округе Ставропольского края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22 741,96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22 741,96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603,88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474,93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5 429,27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5 429,27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16 628,03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13 014,90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3 600,13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движения в Советском городском округе»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безопасности дорожного движения на улично-дорожной сети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«Обеспечение безопасности дорожного движения на улично-дорожной сети округа»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профилактике детского дорожно-транспортного травматизма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10 343,36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10 343,36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10 310,36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дошкольного образования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10 309,76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10 309,76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151,93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10 157,83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C32250" w:rsidRPr="00A620DF" w:rsidTr="00ED107F">
        <w:trPr>
          <w:trHeight w:val="13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ОТДЕЛ КУЛЬТУРЫ АДМИНИСТРАЦИИ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########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30 798,61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30 798,61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Советского района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культуры в 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30 798,61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дополнительного образования в сфере культуры и искусства в Советском городском округе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30 798,61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30 258,81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30 258,81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539,80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539,80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100 971,23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98 999,10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98 979,10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"Развитие библиотечного обслуживания населения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19 022,50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343,99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343,99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18 285,33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18 285,33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L519F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296,95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L519F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296,95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1 347,72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 основанных на местных инициативах (Ремонт здания зала торжеств муниципального казенного учреждения "Культурно-досуговый центр" села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Вторая очередь)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1 100,52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1 100,52</w:t>
            </w:r>
          </w:p>
        </w:tc>
      </w:tr>
      <w:tr w:rsidR="00C32250" w:rsidRPr="00A620DF" w:rsidTr="00ED107F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источников(Ремонт здания зала торжеств муниципального казенного учреждения "Культурно-досуговый центр" села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Вторая очередь)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247,20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247,20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"Развитие культурно-досуговой деятельности в округе"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78 406,86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72 520,30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51 513,48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14 516,96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6 005,05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484,81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2 308,64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2 264,64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656,87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656,87</w:t>
            </w:r>
          </w:p>
        </w:tc>
      </w:tr>
      <w:tr w:rsidR="00C32250" w:rsidRPr="00A620DF" w:rsidTr="00ED107F">
        <w:trPr>
          <w:trHeight w:val="3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(Строительство Дома культуры на 100 мест в поселке Михайловка Советского района Ставропольского края, Советский район)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2 921,05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2 921,05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"Творческие люди"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202,02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"Обеспечение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расзвития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укрепления материально-технической базы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L4670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L4670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"Гармонизация межнациональных отношений, предупреждение религиозного и этнического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экстримизма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укрепление российской нации на территории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фестиваля национальных культур народов, проживающих на территории городского округа, "Мы все единая семья"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1 972,13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«Мероприятия, направленные на проведение ремонта, восстановление и реставрацию памятников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работ по сохранению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отдела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1 373,13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1 301,13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1 301,13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1,54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ТРУДА И СОЦИАЛЬНОЙ ЗАЩИТЫ НАСЕЛЕНИЯ АДМИНИСТРАЦИИ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745 159,10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1 058,55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1 058,55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функций  муниципальных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744 100,55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217 236,14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«Социальная поддержка граждан Советского городского округа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217 236,14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202 583,56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49 372,78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49 101,78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407,82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7,19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Единая субвенция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132 137,00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650,20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43 349,80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2 004,42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1 971,59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40 408,80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542,80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39 866,00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448,78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</w:t>
            </w:r>
          </w:p>
        </w:tc>
      </w:tr>
      <w:tr w:rsidR="00C32250" w:rsidRPr="00A620DF" w:rsidTr="00ED107F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обязательном страховании гражданской ответственности владельцев транспортных средств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Почетный донор России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4 129,56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19,79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4 109,77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528,22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528,22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15 643,38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15 557,50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Основное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мерприятие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адресной социальной помощи семьям с детьми, проживающим на территории района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Предоставление адресной социальной помощи нуждающимся гражданам</w:t>
            </w:r>
            <w:r w:rsidRPr="00A620DF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14 557,57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1 265,46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1 265,46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R4040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13 292,11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R4040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13 292,11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503 209,64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«Социальная поддержка граждан Советского городского округа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503 209,64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мерприятие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адресной социальной помощи семьям с детьми, проживающим на территории района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381 809,68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R3020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211 716,04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R3020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211 716,04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R302F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26 233,87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R302F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26 233,87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2,88</w:t>
            </w:r>
          </w:p>
        </w:tc>
      </w:tr>
      <w:tr w:rsidR="00C32250" w:rsidRPr="00A620DF" w:rsidTr="00ED107F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49 393,21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49 393,21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пособия на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41 322,00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41 319,00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41 654,88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518,98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41 135,90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11 286,80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11 175,28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121 399,36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57 623,39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57 623,39</w:t>
            </w:r>
          </w:p>
        </w:tc>
      </w:tr>
      <w:tr w:rsidR="00C32250" w:rsidRPr="00A620DF" w:rsidTr="00ED107F">
        <w:trPr>
          <w:trHeight w:val="1249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5084F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12 297,94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5084F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12 297,94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51 478,03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51 478,03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23 654,77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23 654,77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"Социальная поддержка граждан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23 654,77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Осуществление ежегодной денежной выплаты лицам, награжденным нагрудным знаком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Почетный донор России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239,50</w:t>
            </w:r>
          </w:p>
        </w:tc>
      </w:tr>
      <w:tr w:rsidR="00C32250" w:rsidRPr="00A620DF" w:rsidTr="00ED107F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366,98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383,70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386,30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реализации программы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21 703,73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286,47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21 417,26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19 908,12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1 507,62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УПРАВЛЕНИЕ СЕЛЬСКОГО ХОЗЯЙСТВА И ОХРАНЫ ОКРУЖАЮЩЕЙ СРЕДЫ СОВЕТСКОГО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8 033,57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21,33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7 976,24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7 976,24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Советского городского округа Ставропольского края «Экономическое развитие Советского городского округа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7 976,24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сельского хозяйства в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7 976,24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Основное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по реализации подпрограммы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7 907,89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729,40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и начисления  работников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4 757,86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4 757,86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2 204,02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2 074,89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растениеводства в округе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68,35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сельского хозяйства в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по реализации подпрограммы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C32250" w:rsidRPr="00A620DF" w:rsidTr="00ED107F">
        <w:trPr>
          <w:trHeight w:val="100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ТЕРРИТОРИАЛЬНЫЙ ОТДЕЛ АДМИНИСТРАЦИИ СОВЕТСКОГО ГОРОДСКОГО ОКРУГА СТАВРОПОЛЬСКОГО КРАЯ В ХУТОРЕ  ВОСТОЧНОМ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9 598,36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3 947,58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3 947,58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3 947,58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3 947,58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804,54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728,91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3 101,91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134,20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1 864,48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1 864,48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ремонту и содержанию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3 532,10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3 532,10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3 532,10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2 847,92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1 998,12</w:t>
            </w:r>
          </w:p>
        </w:tc>
      </w:tr>
      <w:tr w:rsidR="00C32250" w:rsidRPr="00A620DF" w:rsidTr="00ED107F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(«Благоустройство территории, прилегающей к строящемуся храму святого великомученика и Победоносца </w:t>
            </w: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Георгия по адресу: ул. Юбилейная, 28» хутора Восточного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1 727,02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1 727,02</w:t>
            </w:r>
          </w:p>
        </w:tc>
      </w:tr>
      <w:tr w:rsidR="00C32250" w:rsidRPr="00A620DF" w:rsidTr="00ED107F">
        <w:trPr>
          <w:trHeight w:val="262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(«Благоустройство территории, прилегающей к строящемуся храму святого великомученика и Победоносца Георгия по адресу: ул. Юбилейная, 28» хутора Восточного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271,10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271,10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684,18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100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ТЕРРИТОРИАЛЬНЫЙ ОТДЕЛ АДМИНИСТРАЦИИ СОВЕТСКОГО ГОРОДСКОГО ОКРУГА СТАВРОПОЛЬСКОГО КРАЯ В СЕЛЕ ГОРЬКАЯ БАЛКА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19 049,76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4 150,14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4 099,27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4 099,27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4 099,27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3 425,62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3 425,62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мероприятий по профилактике терроризма и экстремизма,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мероприятия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7 190,51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1 383,20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1 383,20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5 807,31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5 807,31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6 936,68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6 936,68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края" Модернизация, развитие и содержание коммунального хозяйства Советского городского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6 936,68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"Содержание, текущий ремонт систем коммунальной инфраструктуры Советского городского округа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3 175,32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3 175,32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«Центральной  площади» (2 очередь) в селе Горькая Балка 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2 730,32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2 730,32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(Благоустройство «Центральной  площади» (2 очередь) в селе Горькая Балка  Советского городского округа Ставропольского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Подпрограмма" Энергосбережение и повышение энергетической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эффективностиа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Советском городском округе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Подпрограмма"Содержание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3 030,63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3 030,63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3 030,63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3 030,63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ОТДЕЛ АДМИНИСТРАЦИИ СОВЕТСКОГО ГОРОДСКОГО ОКРУГА СТАВРОПОЛЬСКОГО КРАЯ В СЕЛЕ НИНЫ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59 751,25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5 254,51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5 014,51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5 014,51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5 014,51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4 130,64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4 130,64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 Советского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New Century Schoolbook" w:eastAsia="Times New Roman" w:hAnsi="New Century Schoolbook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New Century Schoolbook" w:eastAsia="Times New Roman" w:hAnsi="New Century Schoolbook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47 762,23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47 762,23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47 762,23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44 033,85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44 033,85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1 340,01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1 340,01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автомобильных дорог общего пользования местного значения  (Реконструкция части автомобильной дороги по улице Бульварной от дома № 80 до дома № 211 села Нины Советского района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S649М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42 693,84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S649М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42 693,84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3 728,38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3 728,38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3 728,38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6 599,91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и развитие систем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6 597,28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6 597,28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"Содержание, текущий ремонт систем коммунальной инфраструктуры Советского городского округа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5 609,96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3 585,71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тротуаров по ул. Буденного, ул. Социалистическая в селе Нины Советского городского округа Ставропольского края);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1 718,09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1 718,09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тротуара по ул. Ленина в поселке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Селивановка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</w:t>
            </w: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977,62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977,62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(Устройство тротуаров по ул. Буденного, ул. Социалистическая в селе Нины Советского городского округа Ставропольского края);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475,00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за счет внебюджетных источников (Устройство тротуара по ул. Ленина в поселке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Селивановка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2 024,25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мероприятия по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2 024,25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2 024,25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КУЛЬТУРА, </w:t>
            </w: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12,60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«Мероприятия, направленные на проведение ремонта, восстановление и реставрацию памятников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работ по сохранению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ТЕРРИТОРИАЛЬНЫЙ ОТДЕЛ АДМИНИСТРАЦИИ СОВЕТСКОГО ГОРОДСКОГО ОКРУГА СТАВРОПОЛЬСКОГО КРАЯ В СЕЛЕ ОТКАЗНОМ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19 195,51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4 760,83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4 660,83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4 660,83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4 660,83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641,78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 по оплате труда работников органов местного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3 962,23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3 962,23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округа к участию в мероприятиях по профилактике правонарушений на территории округа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12 746,27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12 746,27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12 746,27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10 719,29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7 219,19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1 923,35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1 923,35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5 295,84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5 295,84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3 500,10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3 500,10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3 500,10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«Модернизация улично-дорожной сети Советского городского округа Ставропольского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2 026,98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"Реализация проектов развития территорий муниципальных образований, основанных на местных инициативах"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1 253,66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участка автомобильной дороги общего пользования по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1 253,66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1 253,66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  ремонт участка автомобильной дороги общего пользования по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500,32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ремонт участка автомобильной дороги общего пользования по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1 688,41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и развитие систем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107,03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1 381,38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1 381,38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885,40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"Озеленение"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созданию и содержанию объектов озеленения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в области уличного освещения и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энергосберержения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ОТДЕЛ АДМИНИСТРАЦИИ СОВЕТСКОГО ГОРОДСКОГО ОКРУГА СТАВРОПОЛЬСКОГО КРАЯ В СЕЛЕ ПРАВОКУМСКОМ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7 867,80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4 186,54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4 052,54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4 052,54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4 052,54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931,98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3 077,89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3 077,89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поддержку общественных организаций казаков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1 553,15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1 553,15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«Развитие дорожного хозяйства и повышение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безопасности дорожного  движения в Советском городском округе Ставропольского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1 553,15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1 988,11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1 988,11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1 988,11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1 311,36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1 311,36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1 311,36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1 311,36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676,75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676,75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676,75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676,75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Советского городского округа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ОТДЕЛ АДМИНИСТРАЦИИ СОВЕТСКОГО ГОРОДСКОГО ОКРУГА СТАВРОПОЛЬСКОГО КРАЯ В СЕЛЕ СОЛДАТО-АЛЕКСАНДРОВСКОМ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105 110,96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7 796,22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7 574,74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7 574,74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7 574,74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1 022,97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188,36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678,61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6 506,05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6 506,05</w:t>
            </w:r>
          </w:p>
        </w:tc>
      </w:tr>
      <w:tr w:rsidR="00C32250" w:rsidRPr="00A620DF" w:rsidTr="00ED107F">
        <w:trPr>
          <w:trHeight w:val="300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выплат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45,72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поддержку общественных организаций казаков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" 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5 001,11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653,99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4 347,12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4 347,12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4 630,30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4 630,30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4 630,30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5 974,92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и развитие систем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5 801,44</w:t>
            </w:r>
          </w:p>
        </w:tc>
      </w:tr>
      <w:tr w:rsidR="00C32250" w:rsidRPr="00A620DF" w:rsidTr="00ED107F">
        <w:trPr>
          <w:trHeight w:val="15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5 801,44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4 204,17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2 360,69</w:t>
            </w:r>
          </w:p>
        </w:tc>
      </w:tr>
      <w:tr w:rsidR="00C32250" w:rsidRPr="00A620DF" w:rsidTr="00ED107F">
        <w:trPr>
          <w:trHeight w:val="18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 (Благоустройство прилегающей общественной территории к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ФОКу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Солдато-Александровское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2 017,39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2 017,39</w:t>
            </w:r>
          </w:p>
        </w:tc>
      </w:tr>
      <w:tr w:rsidR="00C32250" w:rsidRPr="00A620DF" w:rsidTr="00ED107F">
        <w:trPr>
          <w:trHeight w:val="22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(Благоустройство прилегающей общественной территории к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ФОКу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Солдато-Александровское Советского городского округа Ставропольского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343,30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343,30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1 843,48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1 843,48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1 843,48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1 597,27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1 597,27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1 597,27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1 597,27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«Мероприятия, направленные на проведение ремонта, восстановление и реставрацию памятников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работ по сохранению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81 688,41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81 688,41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Советского городского округа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A620D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81 688,41</w:t>
            </w:r>
          </w:p>
        </w:tc>
      </w:tr>
      <w:tr w:rsidR="00C32250" w:rsidRPr="00A620DF" w:rsidTr="00ED107F">
        <w:trPr>
          <w:trHeight w:val="11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-Александровского  к регулярным занятиям физической культурой и спортом»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20 006,19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20 006,19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15 843,15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4 163,04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"Капитальное строительство объектов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61 452,22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(реконструкция) объектов спорта за счет средств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S700Б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61 452,22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S700Б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61 452,22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C32250" w:rsidRPr="00A620DF" w:rsidTr="00ED107F">
        <w:trPr>
          <w:trHeight w:val="3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C32250" w:rsidRPr="00A620DF" w:rsidTr="00ED107F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C32250" w:rsidRPr="00A620DF" w:rsidTr="00ED107F">
        <w:trPr>
          <w:trHeight w:val="390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20DF" w:rsidRPr="00A620DF" w:rsidRDefault="00A620DF" w:rsidP="00A620D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620DF" w:rsidRPr="00A620DF" w:rsidRDefault="00A620DF" w:rsidP="00A620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2 480 575,65</w:t>
            </w:r>
          </w:p>
        </w:tc>
      </w:tr>
    </w:tbl>
    <w:p w:rsidR="002924A4" w:rsidRDefault="002924A4" w:rsidP="00A620DF">
      <w:pPr>
        <w:tabs>
          <w:tab w:val="left" w:pos="23531"/>
        </w:tabs>
      </w:pPr>
    </w:p>
    <w:sectPr w:rsidR="002924A4" w:rsidSect="00A620DF">
      <w:pgSz w:w="16838" w:h="11906" w:orient="landscape"/>
      <w:pgMar w:top="28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ew Century Schoolbook">
    <w:panose1 w:val="0204060305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571"/>
    <w:rsid w:val="002924A4"/>
    <w:rsid w:val="00314571"/>
    <w:rsid w:val="008134A9"/>
    <w:rsid w:val="00A620DF"/>
    <w:rsid w:val="00C32250"/>
    <w:rsid w:val="00C61108"/>
    <w:rsid w:val="00ED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09D9"/>
  <w15:chartTrackingRefBased/>
  <w15:docId w15:val="{49314768-BE51-4ECD-9668-93D5931C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4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145</Pages>
  <Words>24851</Words>
  <Characters>141654</Characters>
  <Application>Microsoft Office Word</Application>
  <DocSecurity>0</DocSecurity>
  <Lines>1180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2021-11-23T06:44:00Z</dcterms:created>
  <dcterms:modified xsi:type="dcterms:W3CDTF">2021-11-23T07:17:00Z</dcterms:modified>
</cp:coreProperties>
</file>