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22" w:type="dxa"/>
        <w:tblInd w:w="216" w:type="dxa"/>
        <w:tblLook w:val="04A0" w:firstRow="1" w:lastRow="0" w:firstColumn="1" w:lastColumn="0" w:noHBand="0" w:noVBand="1"/>
      </w:tblPr>
      <w:tblGrid>
        <w:gridCol w:w="7830"/>
        <w:gridCol w:w="1276"/>
        <w:gridCol w:w="833"/>
        <w:gridCol w:w="605"/>
        <w:gridCol w:w="529"/>
        <w:gridCol w:w="652"/>
        <w:gridCol w:w="916"/>
        <w:gridCol w:w="1041"/>
        <w:gridCol w:w="636"/>
        <w:gridCol w:w="1704"/>
      </w:tblGrid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</w:t>
            </w:r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Совета депутатов Советского</w:t>
            </w:r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Ставропольского края</w:t>
            </w:r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1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декабря 2020 года   № </w:t>
            </w:r>
            <w:r w:rsidR="003175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Советского городского округа</w:t>
            </w:r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на 2021 год и плановый период 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B1153" w:rsidRPr="009D4F50" w:rsidRDefault="007B1153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B1153" w:rsidRPr="007B1153" w:rsidRDefault="007B1153" w:rsidP="007B1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153">
              <w:rPr>
                <w:rFonts w:ascii="Times New Roman" w:hAnsi="Times New Roman" w:cs="Times New Roman"/>
                <w:sz w:val="28"/>
                <w:szCs w:val="28"/>
              </w:rPr>
              <w:t>2022 и 2023 годов</w:t>
            </w:r>
            <w:r w:rsidRPr="007B1153">
              <w:rPr>
                <w:rFonts w:ascii="Times New Roman" w:hAnsi="Times New Roman" w:cs="Times New Roman"/>
                <w:sz w:val="28"/>
                <w:szCs w:val="28"/>
              </w:rPr>
              <w:t xml:space="preserve">» (в редакции решения Совета депутатов Советского городского округа Ставропольского </w:t>
            </w:r>
          </w:p>
          <w:p w:rsidR="007B1153" w:rsidRPr="007B1153" w:rsidRDefault="007B1153" w:rsidP="007B1153">
            <w:pPr>
              <w:rPr>
                <w:sz w:val="28"/>
                <w:szCs w:val="28"/>
              </w:rPr>
            </w:pPr>
            <w:r w:rsidRPr="007B1153">
              <w:rPr>
                <w:rFonts w:ascii="Times New Roman" w:hAnsi="Times New Roman" w:cs="Times New Roman"/>
                <w:sz w:val="28"/>
                <w:szCs w:val="28"/>
              </w:rPr>
              <w:t>края от 25 августа 2021 года № 476)</w:t>
            </w:r>
            <w:bookmarkStart w:id="0" w:name="_GoBack"/>
            <w:bookmarkEnd w:id="0"/>
          </w:p>
        </w:tc>
      </w:tr>
      <w:tr w:rsidR="009D4F50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7B1153" w:rsidRDefault="009D4F50" w:rsidP="007B1153">
            <w:pPr>
              <w:rPr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F50" w:rsidRPr="009D4F50" w:rsidTr="00317533">
        <w:trPr>
          <w:trHeight w:val="375"/>
        </w:trPr>
        <w:tc>
          <w:tcPr>
            <w:tcW w:w="160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Р А С П Р Е Д Е Л Е Н И Е           </w:t>
            </w:r>
          </w:p>
        </w:tc>
      </w:tr>
      <w:tr w:rsidR="009D4F50" w:rsidRPr="009D4F50" w:rsidTr="00317533">
        <w:trPr>
          <w:trHeight w:val="375"/>
        </w:trPr>
        <w:tc>
          <w:tcPr>
            <w:tcW w:w="16022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 ассигнований по главным распорядителям средств местного бюджета, разделам (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 на 2021 год      </w:t>
            </w:r>
          </w:p>
        </w:tc>
      </w:tr>
      <w:tr w:rsidR="009D4F50" w:rsidRPr="009D4F50" w:rsidTr="00317533">
        <w:trPr>
          <w:trHeight w:val="390"/>
        </w:trPr>
        <w:tc>
          <w:tcPr>
            <w:tcW w:w="16022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4F50" w:rsidRPr="009D4F50" w:rsidTr="00317533">
        <w:trPr>
          <w:trHeight w:val="390"/>
        </w:trPr>
        <w:tc>
          <w:tcPr>
            <w:tcW w:w="78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1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ЦСР 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7B1153" w:rsidRPr="009D4F50" w:rsidTr="00317533">
        <w:trPr>
          <w:trHeight w:val="390"/>
        </w:trPr>
        <w:tc>
          <w:tcPr>
            <w:tcW w:w="78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ПП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НР</w:t>
            </w:r>
          </w:p>
        </w:tc>
        <w:tc>
          <w:tcPr>
            <w:tcW w:w="6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СОВЕТ  ДЕПУТАТОВ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7 467,36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7 467,36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7 467,36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7 467,36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1 603,85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1 562,29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1 562,29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4 013,75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704,22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74,79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626,43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3 309,53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3 309,53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1 849,76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1 700,59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367 031,97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134 008,25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1 914,40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1 914,40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1 914,40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1 872,84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1 872,84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64 724,30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58 608,70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58 608,70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7 103,63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1 446,75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5 591,29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50 364,38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50 329,96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1 140,69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202,62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1 676,39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функций органов местного самоуправления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1 676,39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1 626,53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1 626,53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2 720,60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1 234,59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1 234,59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1 160,72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918,29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242,43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образования и молодежной политики в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1 718,61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деятельности в области опеки и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попечистельства</w:t>
            </w:r>
            <w:proofErr w:type="spellEnd"/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1 718,61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1 718,61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в рамках обеспечения деятельности судебной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66 975,26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1 431,68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863,46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836,80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службы в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«Внедрение современных технологий и методов кадровой работы, направленных на повышение профессиональной компетентности муниципальных служащих»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приобретение и содержание имущества, находящегося в муниципальной собственности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13 847,24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13 847,24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13 847,24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11 802,03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1 715,23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38 967,20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38 967,20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30 392,55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8 099,64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"Профилактика терроризма и экстремизма"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432,74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«Противодействие  коррупции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противодействие  коррупции на территории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5 046,30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4 517,44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4 383,95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административных зданий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капитальному ремонту и ремонту административных зданий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4 430,60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4 420,60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и развития Единой дежурно-диспетчерской службы Советского городского округа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3 141,44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829,56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98 916,65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96 696,65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96 696,65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19 869,41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«Ремонт и содержание автомобильных дорог вне границ населенных пунктов за счет средств дорожного фонда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10 869,41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 «Ремонт и содержание автомобильных дорог вне границ населенных пунктов на поддержку дорожного хозяйства»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линии города Зеленокумска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автомобильной дороги общего пользования местного значения по переулку Крупской 1,2,3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1 040,05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ремонт автомобильной дороги общего пользования местного значения по переулку Крупской 1,2,3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линиии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Зеленокумска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368,96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73 527,23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69 999,16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13 985,22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56 013,94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3 528,07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3 528,07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3 528,07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«Экономическое развитие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«С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 благоприятных условий для привлечения инвестиций в Советском городском округе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мероприятий, направленных на формирование благоприятного инвестиционного имиджа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участие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-ярмарочных мероприятиях, форумах, конференциях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в Советском городском округе 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эффективной системы поддержки малого и среднего предпринимательства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для осуществления предпринимательской деятельности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"Развитие пищевой и перерабатывающей промышленности, потребительского рынка и туризма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пищевой и перерабатывающей промышленности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создания условий для развития пищевой и перерабатывающей промышленности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создания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ситуационного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развитие ситуационного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 полномочий администрации в области градостроительной деятельности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области разработки основной градостроительной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градостроительной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59 199,77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непрограммные расходы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расходы на проведение мероприятий в чрезвычайных ситуациях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проиродного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"Теплоснабжение"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разработке схемы, актуализации и обслуживанию сетей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57 589,79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36 336,61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Подпрограмма"Содержание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28 726,05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"Озеленение"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и содержанию объектов озеленения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"Содержание мест захоронения"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907,56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5 311,17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(«Благоустройство сквера на площади 1 Мая в районе МОУ СОШ№ 3 (2 этап)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2 514,58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(«Приобретение коммунальной техники для уборки дорог общего пользования местного значения и площадей города Зеленокумска  Советского городского округа Ставропольского края")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2 464,99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сквера на площади 1 Мая в районе МОУ СОШ№ 3 (2 этап)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217,52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21 757,32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14 411,59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14 411,59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комбинированной дорожной машины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7 345,73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по МКУ "Хозяйственно -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эксплутационная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1 873,30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7 610,56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"Формирование современной городской среды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19 379,88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19 379,88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19 379,88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19 379,88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1 461,98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"Приобретение специализированной техники для нужд жилищно-коммунального обслуживания"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"Увеличение уставного фонда муниципального унитарного предприятия "Жилищно-коммунальное хозяйства города Зеленокумска"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специализированной техники по оказанию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 вопросов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765,98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3 155,02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 расходы исполнительного органа в области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строительство объектов социально-культурной сферы;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2 975,02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этническогои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религиозного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единства российской нации на территории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Советского городского округа Ставропольского края "Профилактика правонарушений, наркомании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округа профилактических мероприятий, направленных на снижение незаконного потребления и оборота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профилактики правонарушений, направленной на активизацию борьбы с преступностью, в том числе среди несовершеннолетних и молодежи в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28 274,81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28 274,81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жилищно-коммунального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696,17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молодежной политики в Советском городско округе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деятельности в области опеки и попечительства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27 576,24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13 475,48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13 500,76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39 006,87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39 006,87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39 006,87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г.Зеленокумска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регулярным занятиям физической культурой и спортом».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31 697,22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31 697,22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16 131,15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8 592,27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6 973,80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«Развитие массовой физической культуры и спорта в городском округе»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2 436,37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1 755,37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1 925,91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"Капитальное строительство объектов спорта"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7B1153" w:rsidRPr="009D4F50" w:rsidTr="00317533">
        <w:trPr>
          <w:trHeight w:val="3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физкультурно-оздоровительного комплекса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с.Нины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края, Советский район)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2 947,37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ИМУЩЕСТВЕННЫХ И ЗЕМЕЛЬНЫХ ОТНОШЕНИЙ АДМИНИСТРАЦИИ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11 006,88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10 756,88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10 756,88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10 756,88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977,30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635,21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635,21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635,21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Советского городского округа Ставропольского края" Управление и распоряжение имуществом" и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общепрограммные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9 144,37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746,83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8 397,54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8 299,04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"Управление и распоряжение имуществом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жилого помещения в муниципальную собственность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и капремонт жилфонда, находящегося 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 УПРАВЛЕНИЕ АДМИНИСТРАЦИИ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40 790,51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40 774,31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 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15 264,17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15 264,17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реализации муниципальной программы СГО СК  "Повышение эффективности управления муниципальными финансами Советского городского округа Ставропольского края""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15 264,17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в рамках обеспечения деятельности Финансового управления администрации Советского городского округа 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15 264,17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3 091,06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2 725,49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12 173,11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12 173,11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25 510,14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25 510,14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25 510,14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25 497,70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19 248,73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6 248,67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АДМИНИСТРАЦИИ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949 479,53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939 125,51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322 997,47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округаСтавропольского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322 797,47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322 797,47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216 712,00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131 816,54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77 962,44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6 933,02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101 372,72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98 712,76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4 712,75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3 591,32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1 121,43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539 513,96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края«Развитие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539 363,96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общего образования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537 538,53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193 183,59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91 707,73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94 715,34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2 107,57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4 652,95</w:t>
            </w:r>
          </w:p>
        </w:tc>
      </w:tr>
      <w:tr w:rsidR="007B1153" w:rsidRPr="009D4F50" w:rsidTr="00317533">
        <w:trPr>
          <w:trHeight w:val="3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242 990,71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233 809,58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4 482,17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4 698,96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10 293,00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30 232,44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L3040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41 843,37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8 734,87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7 134,46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1 600,41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 "Успех каждого ребенка"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1 825,43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10 065,85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41 669,51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дополнительного образования детей и подростков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41 639,51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36 004,82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5 230,30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293,50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4,70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округаСтавропольского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Молодежная  политика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13 070,25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13 070,25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организационно-воспитательной работы с молодежью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2 399,76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2 239,76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1 798,67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438,99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оздоровительно-образовательного центра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5 344,50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5 344,50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2 494,17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2 814,23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каникулярного отдыха, оздоровления и занятости детей и подростков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5 325,99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647,37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4 678,62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21 869,62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21 856,62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21 856,62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573,88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5 380,84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5 380,84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15 901,90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12 573,77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3 315,13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профилактике детского дорожно-транспортного травматизма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10 343,36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 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10 310,36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дошкольного образования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10 309,76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10 202,83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13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ОТДЕЛ КУЛЬТУРЫ АДМИНИСТРАЦИИ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########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29 513,96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29 513,96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Советского района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культуры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29 513,96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дополнительного образования в сфере культуры и искусства в Советском городском округе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29 513,96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29 013,96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29 013,96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96 490,74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94 549,03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94 529,03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библиотечного обслуживания населения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19 953,71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330,41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19 527,07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19 527,07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1 421,48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 основанных на местных инициативах 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1 174,28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1 174,28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источников(Ремонт здания зала торжеств муниципального казенного учреждения "Культурно-досуговый центр" села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Вторая очередь)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G8409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72 951,82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66 698,17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51 531,56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14 465,93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695,63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в сфере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2 462,69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2 408,69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869,91</w:t>
            </w:r>
          </w:p>
        </w:tc>
      </w:tr>
      <w:tr w:rsidR="007B1153" w:rsidRPr="009D4F50" w:rsidTr="00317533">
        <w:trPr>
          <w:trHeight w:val="3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 (Строительство Дома культуры на 100 мест в поселке Михайловка Советского района Ставропольского края, Советский район)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S7922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"Творческие люди"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55191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"Обеспечение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расзвития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укрепления материально-технической базы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L4670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"Гармонизация межнациональных отношений, предупреждение религиозного и этнического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экстримизма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укрепление российской нации на территории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проведение фестиваля национальных культур народов, проживающих на территории городского округа, "Мы все единая семья"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1 941,71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607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1 342,71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1 291,01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1 291,01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ТРУДА И СОЦИАЛЬНОЙ ЗАЩИТЫ НАСЕЛЕНИЯ АДМИНИСТРАЦИИ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688 988,97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849,43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 муниципальных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гарантий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688 139,54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217 180,99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217 180,99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202 528,41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49 372,78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49 101,78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401,72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Единая субвенция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132 137,00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43 349,80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1 970,50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40 413,50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39 866,00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4 129,56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4 109,77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15 588,23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15 500,45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адресной социальной помощи нуждающимся гражданам</w:t>
            </w:r>
            <w:r w:rsidRPr="009D4F50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14 557,57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1 265,46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R4040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13 292,11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447 590,25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447 590,25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мерприятие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социальной помощи семьям с детьми, проживающим на территории района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338 488,23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198 800,00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R3020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198 800,00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</w:t>
            </w:r>
          </w:p>
        </w:tc>
      </w:tr>
      <w:tr w:rsidR="007B1153" w:rsidRPr="009D4F50" w:rsidTr="00317533">
        <w:trPr>
          <w:trHeight w:val="26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45 221,96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45 221,96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пособия на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41 322,00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41 654,88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518,98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41 135,90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11 286,80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11 175,76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109 101,42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57 623,39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51 478,03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23 368,30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23 368,30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23 368,30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Почетный донор России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239,50</w:t>
            </w:r>
          </w:p>
        </w:tc>
      </w:tr>
      <w:tr w:rsidR="007B1153" w:rsidRPr="009D4F50" w:rsidTr="00317533">
        <w:trPr>
          <w:trHeight w:val="26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реализации программы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21 417,26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21 417,26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19 908,12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1 507,62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СЕЛЬСКОГО ХОЗЯЙСТВА И ОХРАНЫ ОКРУЖАЮЩЕЙ СРЕДЫ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7 898,65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гарантий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7 841,32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7 841,32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«Экономическое развитие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7 772,97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848,13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729,40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4 720,82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4 720,82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2 204,02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2 074,89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растениеводства в округе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сельского хозяйства в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по реализации подпрограммы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7B1153" w:rsidRPr="009D4F50" w:rsidTr="00317533">
        <w:trPr>
          <w:trHeight w:val="100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ТЕРРИТОРИАЛЬНЫЙ ОТДЕЛ АДМИНИСТРАЦИИ СОВЕТСКОГО ГОРОДСКОГО ОКРУГА СТАВРОПОЛЬСКОГО КРАЯ В ХУТОРЕ  ВОСТОЧНОМ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9 529,57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3 878,79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3 878,79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3 878,79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3 878,79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804,54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696,60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3 074,25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3 074,25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2 014,48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2 014,48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3 382,10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3 382,10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3 382,10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2 869,10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1 998,12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1 727,02</w:t>
            </w:r>
          </w:p>
        </w:tc>
      </w:tr>
      <w:tr w:rsidR="007B1153" w:rsidRPr="009D4F50" w:rsidTr="00317533">
        <w:trPr>
          <w:trHeight w:val="262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(«Благоустройство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870,98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870,98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00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ТЕРРИТОРИАЛЬНЫЙ ОТДЕЛ АДМИНИСТРАЦИИ СОВЕТСКОГО ГОРОДСКОГО ОКРУГА СТАВРОПОЛЬСКОГО КРАЯ В СЕЛЕ ГОРЬКАЯ БАЛКА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18 976,06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4 025,57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4 025,57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4 025,57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3 399,26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3 399,26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7 787,94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7 190,51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5 807,31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6 887,55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6 887,55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края" 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6 887,55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3 175,32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2 730,32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«Центральной  площади» (2 очередь) в селе Горькая Балка 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G8402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Подпрограмма" Энергосбережение и повышение энергетической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Советском городском округе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730,73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Подпрограмма"Содержание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2 981,50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НИНЫ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61 886,62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5 163,36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4 923,36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4 923,36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4 923,36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825,72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4 097,64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4 097,64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 Советского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New Century Schoolbook" w:eastAsia="Times New Roman" w:hAnsi="New Century Schoolbook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49 906,75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49 906,75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49 906,75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44 033,85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1 259,61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1 259,61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автомобильных дорог общего пользования местного значения  (Реконструкция части автомобильной дороги по улице Бульварной от дома № 80 до дома № 211 села Нины Советского района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S649М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42 774,24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5 872,90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5 872,90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5 872,90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6 662,51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6 659,88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6 659,88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"Содержание, текущий ремонт систем коммунальной инфраструктуры Советского городского округа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5 672,56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3 585,71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1 718,09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тротуара по ул. Ленина в поселке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977,62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инициативах, за счет внебюджетных источников (Устройство тротуаров по ул. Буденного, ул. Социалистическая в селе Нины Советского городского округа Ставропольского края);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за счет внебюджетных источников (Устройство тротуара по ул. Ленина в поселке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Селивановка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2 086,85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2 086,85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2 086,85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987,32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ОТКАЗНОМ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19 052,60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4 685,32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641,78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3 933,54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3 933,54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12 586,27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12 586,27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12 586,27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10 559,29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7 219,19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1 923,35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5 295,84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ремонту и содержанию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дорожной сети Советского городского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«Модернизация улично-дорожной сети Советского городского округа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2 026,98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"Реализация проектов развития территорий муниципальных образований, основанных на местных инициативах"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1 253,66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 ремонт участка автомобильной дороги общего пользования по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500,32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ремонт участка автомобильной дороги общего пользования по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ул.Лермонтова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Отказного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1 781,01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1 473,98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области уличного освещения и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энергосберержения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ПРАВОКУМСКОМ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7 822,59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4 119,61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3 931,11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3 931,11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3 931,11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877,48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782,16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3 053,63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3 053,63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в области землеустройства и землепользования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1 241,25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1 241,25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1 241,25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542,15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699,10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699,10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2 321,73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2 321,73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2 321,73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1 381,26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1 381,26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1 381,26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940,47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940,47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940,47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940,47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ТЕРРИТОРИАЛЬНЫЙ ОТДЕЛ АДМИНИСТРАЦИИ СОВЕТСКОГО ГОРОДСКОГО ОКРУГА СТАВРОПОЛЬСКОГО КРАЯ В СЕЛЕ СОЛДАТО-АЛЕКСАНДРОВСКОМ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105 018,46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7 703,72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7 482,24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7 482,24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7 482,24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1 022,97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188,36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678,61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6 459,27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6 459,27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Разработка, приобретение и эксплуатация информационных систем, ресурсов и телекоммуникационных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профилактике терроризма и экстремизма, в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поддержку общественных организаций казаков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и устранение последствий распространения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инфекции на территории Советского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 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9 631,41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5 001,11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653,99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назначения в городских округах и городских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4 347,12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мероприятия "Ремонт и содержание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-дорожной сети  округа за счет средств на поддержку дорожного хозяйства"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 содержанию улично-дорожной сети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5 974,92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"Модернизация и развитие коммунального хозяйства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и развитие систем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газовых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5 801,44</w:t>
            </w:r>
          </w:p>
        </w:tc>
      </w:tr>
      <w:tr w:rsidR="007B1153" w:rsidRPr="009D4F50" w:rsidTr="00317533">
        <w:trPr>
          <w:trHeight w:val="150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5 801,44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3 774,76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2 360,69</w:t>
            </w:r>
          </w:p>
        </w:tc>
      </w:tr>
      <w:tr w:rsidR="007B1153" w:rsidRPr="009D4F50" w:rsidTr="00317533">
        <w:trPr>
          <w:trHeight w:val="18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 (Благоустройство прилегающей общественной территории к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S8406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2 017,39</w:t>
            </w:r>
          </w:p>
        </w:tc>
      </w:tr>
      <w:tr w:rsidR="007B1153" w:rsidRPr="009D4F50" w:rsidTr="00317533">
        <w:trPr>
          <w:trHeight w:val="22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(Благоустройство прилегающей общественной территории к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ФОКу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села Солдато-Александровское Советского городского округа Ставропольского края)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G8406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343,30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"Прочее благоустройство"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1 414,07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1 414,07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1 414,07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"Энергосбережение и повышение энергетической эффективности в Советском городском округе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Ставрпопольского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в области уличного освещения и энергосбережения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2 026,68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2 026,68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 и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Советского городского округа Ставропольского края "Развитие культуры   Советского городского округа Ставропольского края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«Мероприятия, направленные на проведение ремонта, восстановление и реставрацию памятников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Советского городского округа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«</w:t>
            </w: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в  Советском городском округе Ставропольского края </w:t>
            </w:r>
            <w:r w:rsidRPr="009D4F50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81 688,41</w:t>
            </w:r>
          </w:p>
        </w:tc>
      </w:tr>
      <w:tr w:rsidR="007B1153" w:rsidRPr="009D4F50" w:rsidTr="00317533">
        <w:trPr>
          <w:trHeight w:val="112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«Создание условий для вовлечения различных групп населения </w:t>
            </w:r>
            <w:proofErr w:type="spellStart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с.Солдато</w:t>
            </w:r>
            <w:proofErr w:type="spellEnd"/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-Александровского  к регулярным занятиям физической культурой и спортом»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15 843,15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15 843,15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15 843,15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65 615,26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(реконструкция) объектов спорта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65 615,26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S700Б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65 615,26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7B1153" w:rsidRPr="009D4F50" w:rsidTr="00317533">
        <w:trPr>
          <w:trHeight w:val="375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проектно-сметную документацию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7B1153" w:rsidRPr="009D4F50" w:rsidTr="00317533">
        <w:trPr>
          <w:trHeight w:val="750"/>
        </w:trPr>
        <w:tc>
          <w:tcPr>
            <w:tcW w:w="7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7B1153" w:rsidRPr="009D4F50" w:rsidTr="00317533">
        <w:trPr>
          <w:trHeight w:val="390"/>
        </w:trPr>
        <w:tc>
          <w:tcPr>
            <w:tcW w:w="78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4F50" w:rsidRPr="009D4F50" w:rsidRDefault="009D4F50" w:rsidP="009D4F50">
            <w:pPr>
              <w:ind w:right="-100"/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D4F50" w:rsidRPr="009D4F50" w:rsidRDefault="009D4F50" w:rsidP="009D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F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2 420 957,47</w:t>
            </w:r>
          </w:p>
        </w:tc>
      </w:tr>
    </w:tbl>
    <w:p w:rsidR="002924A4" w:rsidRDefault="002924A4"/>
    <w:sectPr w:rsidR="002924A4" w:rsidSect="009D4F50">
      <w:pgSz w:w="16838" w:h="11906" w:orient="landscape"/>
      <w:pgMar w:top="1701" w:right="28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 Century Schoolbook">
    <w:panose1 w:val="0204060305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5DA"/>
    <w:rsid w:val="002924A4"/>
    <w:rsid w:val="0030529E"/>
    <w:rsid w:val="00317533"/>
    <w:rsid w:val="00545046"/>
    <w:rsid w:val="006835DA"/>
    <w:rsid w:val="007B1153"/>
    <w:rsid w:val="009D4F50"/>
    <w:rsid w:val="00C61108"/>
    <w:rsid w:val="00D9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22C94"/>
  <w15:chartTrackingRefBased/>
  <w15:docId w15:val="{4474D5AD-76B1-4879-9F2C-7C989DC1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5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110</Pages>
  <Words>22367</Words>
  <Characters>127493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2021-09-06T09:17:00Z</cp:lastPrinted>
  <dcterms:created xsi:type="dcterms:W3CDTF">2021-09-06T07:16:00Z</dcterms:created>
  <dcterms:modified xsi:type="dcterms:W3CDTF">2021-09-07T07:50:00Z</dcterms:modified>
</cp:coreProperties>
</file>